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9AA7D" w14:textId="4CB9023C" w:rsidR="00921FE3" w:rsidRPr="005061DC" w:rsidRDefault="005061DC" w:rsidP="001D5F6F">
      <w:pPr>
        <w:spacing w:after="120" w:line="360" w:lineRule="auto"/>
        <w:ind w:left="567" w:right="1695"/>
        <w:rPr>
          <w:rFonts w:ascii="Arial" w:hAnsi="Arial" w:cs="Arial"/>
          <w:b/>
          <w:bCs/>
          <w:sz w:val="28"/>
          <w:szCs w:val="28"/>
        </w:rPr>
      </w:pPr>
      <w:r w:rsidRPr="005061DC">
        <w:rPr>
          <w:rStyle w:val="Fett"/>
          <w:rFonts w:asciiTheme="minorHAnsi" w:eastAsiaTheme="majorEastAsia" w:hAnsiTheme="minorHAnsi" w:cstheme="minorHAnsi"/>
          <w:sz w:val="28"/>
          <w:szCs w:val="28"/>
        </w:rPr>
        <w:t>Neue AMAZONE Doppel-Federringwalze DFW 580 für Anbaugeräte</w:t>
      </w:r>
    </w:p>
    <w:p w14:paraId="3DB13CF0" w14:textId="09CF2C2C" w:rsidR="004A4E71" w:rsidRDefault="004A4E71" w:rsidP="00921FE3">
      <w:pPr>
        <w:spacing w:after="120" w:line="360" w:lineRule="auto"/>
        <w:ind w:left="567" w:right="1695"/>
        <w:rPr>
          <w:rFonts w:ascii="Arial" w:eastAsia="Arial" w:hAnsi="Arial" w:cs="Arial"/>
        </w:rPr>
      </w:pPr>
    </w:p>
    <w:p w14:paraId="04603C46" w14:textId="4CFF881D" w:rsidR="005061DC" w:rsidRPr="005061DC" w:rsidRDefault="005061DC" w:rsidP="005061DC">
      <w:pPr>
        <w:spacing w:after="120" w:line="360" w:lineRule="auto"/>
        <w:ind w:left="567" w:right="1695"/>
        <w:rPr>
          <w:rFonts w:ascii="Arial" w:eastAsia="Arial" w:hAnsi="Arial" w:cs="Arial"/>
        </w:rPr>
      </w:pPr>
      <w:r w:rsidRPr="005061DC">
        <w:rPr>
          <w:rFonts w:ascii="Arial" w:eastAsia="Arial" w:hAnsi="Arial" w:cs="Arial"/>
        </w:rPr>
        <w:t xml:space="preserve">Mit der Doppel-Federringwalze DFW 580 </w:t>
      </w:r>
      <w:r w:rsidR="0058353E">
        <w:rPr>
          <w:rFonts w:ascii="Arial" w:eastAsia="Arial" w:hAnsi="Arial" w:cs="Arial"/>
        </w:rPr>
        <w:t>erweitert</w:t>
      </w:r>
      <w:r w:rsidRPr="005061DC">
        <w:rPr>
          <w:rFonts w:ascii="Arial" w:eastAsia="Arial" w:hAnsi="Arial" w:cs="Arial"/>
        </w:rPr>
        <w:t xml:space="preserve"> AMAZONE </w:t>
      </w:r>
      <w:r w:rsidR="00BD1F5D">
        <w:rPr>
          <w:rFonts w:ascii="Arial" w:eastAsia="Arial" w:hAnsi="Arial" w:cs="Arial"/>
        </w:rPr>
        <w:t xml:space="preserve">das </w:t>
      </w:r>
      <w:r w:rsidR="00815EA4">
        <w:rPr>
          <w:rFonts w:ascii="Arial" w:eastAsia="Arial" w:hAnsi="Arial" w:cs="Arial"/>
        </w:rPr>
        <w:t>Angebot</w:t>
      </w:r>
      <w:r w:rsidR="00BD1F5D">
        <w:rPr>
          <w:rFonts w:ascii="Arial" w:eastAsia="Arial" w:hAnsi="Arial" w:cs="Arial"/>
        </w:rPr>
        <w:t xml:space="preserve"> </w:t>
      </w:r>
      <w:r w:rsidR="00815EA4">
        <w:rPr>
          <w:rFonts w:ascii="Arial" w:eastAsia="Arial" w:hAnsi="Arial" w:cs="Arial"/>
        </w:rPr>
        <w:t>an</w:t>
      </w:r>
      <w:r w:rsidRPr="005061DC">
        <w:rPr>
          <w:rFonts w:ascii="Arial" w:eastAsia="Arial" w:hAnsi="Arial" w:cs="Arial"/>
        </w:rPr>
        <w:t xml:space="preserve"> Nachlaufwalze</w:t>
      </w:r>
      <w:r w:rsidR="00BD1F5D">
        <w:rPr>
          <w:rFonts w:ascii="Arial" w:eastAsia="Arial" w:hAnsi="Arial" w:cs="Arial"/>
        </w:rPr>
        <w:t>n</w:t>
      </w:r>
      <w:r w:rsidRPr="005061DC">
        <w:rPr>
          <w:rFonts w:ascii="Arial" w:eastAsia="Arial" w:hAnsi="Arial" w:cs="Arial"/>
        </w:rPr>
        <w:t xml:space="preserve"> für die Anbaugrubber Cenio und Cenius sowie für die Anbau-Kompaktscheibeneggen </w:t>
      </w:r>
      <w:proofErr w:type="spellStart"/>
      <w:r w:rsidRPr="005061DC">
        <w:rPr>
          <w:rFonts w:ascii="Arial" w:eastAsia="Arial" w:hAnsi="Arial" w:cs="Arial"/>
        </w:rPr>
        <w:t>Catros</w:t>
      </w:r>
      <w:proofErr w:type="spellEnd"/>
      <w:r w:rsidRPr="005061DC">
        <w:rPr>
          <w:rFonts w:ascii="Arial" w:eastAsia="Arial" w:hAnsi="Arial" w:cs="Arial"/>
        </w:rPr>
        <w:t xml:space="preserve">. </w:t>
      </w:r>
      <w:r w:rsidR="0058353E">
        <w:rPr>
          <w:rFonts w:ascii="Arial" w:eastAsia="Arial" w:hAnsi="Arial" w:cs="Arial"/>
        </w:rPr>
        <w:t>Die neue Walze deckt durch ihre</w:t>
      </w:r>
      <w:r w:rsidR="00815EA4">
        <w:rPr>
          <w:rFonts w:ascii="Arial" w:eastAsia="Arial" w:hAnsi="Arial" w:cs="Arial"/>
        </w:rPr>
        <w:t xml:space="preserve"> offene Bauweise mit</w:t>
      </w:r>
      <w:r w:rsidRPr="005061DC">
        <w:rPr>
          <w:rFonts w:ascii="Arial" w:eastAsia="Arial" w:hAnsi="Arial" w:cs="Arial"/>
        </w:rPr>
        <w:t xml:space="preserve"> einem Strichabstand von 280 mm ein breites Einsatzspektrum ab</w:t>
      </w:r>
      <w:r w:rsidR="0058353E">
        <w:rPr>
          <w:rFonts w:ascii="Arial" w:eastAsia="Arial" w:hAnsi="Arial" w:cs="Arial"/>
        </w:rPr>
        <w:t xml:space="preserve"> und</w:t>
      </w:r>
      <w:r w:rsidRPr="005061DC">
        <w:rPr>
          <w:rFonts w:ascii="Arial" w:eastAsia="Arial" w:hAnsi="Arial" w:cs="Arial"/>
        </w:rPr>
        <w:t xml:space="preserve"> </w:t>
      </w:r>
      <w:r w:rsidR="0058353E">
        <w:rPr>
          <w:rFonts w:ascii="Arial" w:eastAsia="Arial" w:hAnsi="Arial" w:cs="Arial"/>
        </w:rPr>
        <w:t>bietet hohe Einsatzsicherheit auf</w:t>
      </w:r>
      <w:r w:rsidR="0058353E" w:rsidRPr="005061DC">
        <w:rPr>
          <w:rFonts w:ascii="Arial" w:eastAsia="Arial" w:hAnsi="Arial" w:cs="Arial"/>
        </w:rPr>
        <w:t xml:space="preserve"> sandigen </w:t>
      </w:r>
      <w:r w:rsidR="0058353E">
        <w:rPr>
          <w:rFonts w:ascii="Arial" w:eastAsia="Arial" w:hAnsi="Arial" w:cs="Arial"/>
        </w:rPr>
        <w:t>wie</w:t>
      </w:r>
      <w:r w:rsidR="0058353E" w:rsidRPr="005061DC">
        <w:rPr>
          <w:rFonts w:ascii="Arial" w:eastAsia="Arial" w:hAnsi="Arial" w:cs="Arial"/>
        </w:rPr>
        <w:t xml:space="preserve"> lehmigen Böden</w:t>
      </w:r>
      <w:r w:rsidR="00863039">
        <w:rPr>
          <w:rFonts w:ascii="Arial" w:eastAsia="Arial" w:hAnsi="Arial" w:cs="Arial"/>
        </w:rPr>
        <w:t>.</w:t>
      </w:r>
    </w:p>
    <w:p w14:paraId="7AF50EE3" w14:textId="266B606F" w:rsidR="005061DC" w:rsidRPr="005061DC" w:rsidRDefault="005061DC" w:rsidP="005061DC">
      <w:pPr>
        <w:spacing w:after="120" w:line="360" w:lineRule="auto"/>
        <w:ind w:left="567" w:right="1695"/>
        <w:rPr>
          <w:rFonts w:ascii="Arial" w:eastAsia="Arial" w:hAnsi="Arial" w:cs="Arial"/>
        </w:rPr>
      </w:pPr>
      <w:r w:rsidRPr="005061DC">
        <w:rPr>
          <w:rFonts w:ascii="Arial" w:eastAsia="Arial" w:hAnsi="Arial" w:cs="Arial"/>
        </w:rPr>
        <w:t xml:space="preserve">Die DFW 580 erzeugt durch </w:t>
      </w:r>
      <w:r w:rsidR="00C11884">
        <w:rPr>
          <w:rFonts w:ascii="Arial" w:eastAsia="Arial" w:hAnsi="Arial" w:cs="Arial"/>
        </w:rPr>
        <w:t>die</w:t>
      </w:r>
      <w:r w:rsidRPr="005061DC">
        <w:rPr>
          <w:rFonts w:ascii="Arial" w:eastAsia="Arial" w:hAnsi="Arial" w:cs="Arial"/>
        </w:rPr>
        <w:t xml:space="preserve"> kontinuierlich</w:t>
      </w:r>
      <w:r w:rsidR="00C11884">
        <w:rPr>
          <w:rFonts w:ascii="Arial" w:eastAsia="Arial" w:hAnsi="Arial" w:cs="Arial"/>
        </w:rPr>
        <w:t xml:space="preserve"> federnden </w:t>
      </w:r>
      <w:r w:rsidRPr="005061DC">
        <w:rPr>
          <w:rFonts w:ascii="Arial" w:eastAsia="Arial" w:hAnsi="Arial" w:cs="Arial"/>
        </w:rPr>
        <w:t xml:space="preserve">Ringe einen hohen </w:t>
      </w:r>
      <w:proofErr w:type="spellStart"/>
      <w:r w:rsidRPr="005061DC">
        <w:rPr>
          <w:rFonts w:ascii="Arial" w:eastAsia="Arial" w:hAnsi="Arial" w:cs="Arial"/>
        </w:rPr>
        <w:t>Feinerdeanteil</w:t>
      </w:r>
      <w:proofErr w:type="spellEnd"/>
      <w:r w:rsidRPr="005061DC">
        <w:rPr>
          <w:rFonts w:ascii="Arial" w:eastAsia="Arial" w:hAnsi="Arial" w:cs="Arial"/>
        </w:rPr>
        <w:t xml:space="preserve"> und sorgt gleichzeitig für eine gute Rückverfestigung bei lockerer Bodenoberfläche. Mit einem geringen Walzenrohrdurchmesser von 140 mm und einem Außendurchmesser von 580 mm bietet die Doppel-Federringwalze auf leichten Sandstandorten einen sehr guten Durchgang. Die versetzte Anordnung der Ringe ermöglicht dabei einen sicheren Eigenantrieb der Walze. Diese Kombination macht die Doppel-Federringwalze besonders auf leichten Böden sehr einsatzsicher. </w:t>
      </w:r>
    </w:p>
    <w:p w14:paraId="264902EB" w14:textId="0DF0B1F7" w:rsidR="005061DC" w:rsidRPr="005061DC" w:rsidRDefault="005061DC" w:rsidP="005061DC">
      <w:pPr>
        <w:spacing w:after="120" w:line="360" w:lineRule="auto"/>
        <w:ind w:left="567" w:right="1695"/>
        <w:rPr>
          <w:rFonts w:ascii="Arial" w:eastAsia="Arial" w:hAnsi="Arial" w:cs="Arial"/>
        </w:rPr>
      </w:pPr>
      <w:r w:rsidRPr="005061DC">
        <w:rPr>
          <w:rFonts w:ascii="Arial" w:eastAsia="Arial" w:hAnsi="Arial" w:cs="Arial"/>
        </w:rPr>
        <w:t xml:space="preserve">Die geschlossenen Federringe </w:t>
      </w:r>
      <w:r w:rsidR="003C23E8">
        <w:rPr>
          <w:rFonts w:ascii="Arial" w:eastAsia="Arial" w:hAnsi="Arial" w:cs="Arial"/>
        </w:rPr>
        <w:t>bieten</w:t>
      </w:r>
      <w:r w:rsidRPr="005061DC">
        <w:rPr>
          <w:rFonts w:ascii="Arial" w:eastAsia="Arial" w:hAnsi="Arial" w:cs="Arial"/>
        </w:rPr>
        <w:t xml:space="preserve"> </w:t>
      </w:r>
      <w:r w:rsidR="003C23E8">
        <w:rPr>
          <w:rFonts w:ascii="Arial" w:eastAsia="Arial" w:hAnsi="Arial" w:cs="Arial"/>
        </w:rPr>
        <w:t>insbesondere</w:t>
      </w:r>
      <w:r w:rsidRPr="005061DC">
        <w:rPr>
          <w:rFonts w:ascii="Arial" w:eastAsia="Arial" w:hAnsi="Arial" w:cs="Arial"/>
        </w:rPr>
        <w:t xml:space="preserve"> bei Anbaugeräten den Vorteil, dass </w:t>
      </w:r>
      <w:r w:rsidR="003C23E8">
        <w:rPr>
          <w:rFonts w:ascii="Arial" w:eastAsia="Arial" w:hAnsi="Arial" w:cs="Arial"/>
        </w:rPr>
        <w:t>sie</w:t>
      </w:r>
      <w:r w:rsidRPr="005061DC">
        <w:rPr>
          <w:rFonts w:ascii="Arial" w:eastAsia="Arial" w:hAnsi="Arial" w:cs="Arial"/>
        </w:rPr>
        <w:t xml:space="preserve"> sich nicht mit Erde </w:t>
      </w:r>
      <w:r w:rsidR="003C23E8">
        <w:rPr>
          <w:rFonts w:ascii="Arial" w:eastAsia="Arial" w:hAnsi="Arial" w:cs="Arial"/>
        </w:rPr>
        <w:t xml:space="preserve">zusetzen </w:t>
      </w:r>
      <w:r w:rsidRPr="005061DC">
        <w:rPr>
          <w:rFonts w:ascii="Arial" w:eastAsia="Arial" w:hAnsi="Arial" w:cs="Arial"/>
        </w:rPr>
        <w:t xml:space="preserve">und sich </w:t>
      </w:r>
      <w:r w:rsidR="003C23E8">
        <w:rPr>
          <w:rFonts w:ascii="Arial" w:eastAsia="Arial" w:hAnsi="Arial" w:cs="Arial"/>
        </w:rPr>
        <w:t>dadurch</w:t>
      </w:r>
      <w:r w:rsidRPr="005061DC">
        <w:rPr>
          <w:rFonts w:ascii="Arial" w:eastAsia="Arial" w:hAnsi="Arial" w:cs="Arial"/>
        </w:rPr>
        <w:t xml:space="preserve"> das Gewicht der Walze nicht erhöht. Zusätzlich verringern die geschlossenen Ringe die Verschleppung von Erde und Unkrautsamen </w:t>
      </w:r>
      <w:r w:rsidR="003C23E8">
        <w:rPr>
          <w:rFonts w:ascii="Arial" w:eastAsia="Arial" w:hAnsi="Arial" w:cs="Arial"/>
        </w:rPr>
        <w:t xml:space="preserve">und unterstützen damit </w:t>
      </w:r>
      <w:r w:rsidRPr="005061DC">
        <w:rPr>
          <w:rFonts w:ascii="Arial" w:eastAsia="Arial" w:hAnsi="Arial" w:cs="Arial"/>
        </w:rPr>
        <w:t xml:space="preserve">bei der Bearbeitung unterschiedlicher Flächen </w:t>
      </w:r>
      <w:r w:rsidR="003C23E8">
        <w:rPr>
          <w:rFonts w:ascii="Arial" w:eastAsia="Arial" w:hAnsi="Arial" w:cs="Arial"/>
        </w:rPr>
        <w:t>eine</w:t>
      </w:r>
      <w:r w:rsidRPr="005061DC">
        <w:rPr>
          <w:rFonts w:ascii="Arial" w:eastAsia="Arial" w:hAnsi="Arial" w:cs="Arial"/>
        </w:rPr>
        <w:t xml:space="preserve"> verbesserte Feldhygiene. Ein weiterer Vorteil ist die sehr gute Reinigungswirkung, die durch das permanente Federn der Ringe </w:t>
      </w:r>
      <w:r w:rsidR="00E52C13">
        <w:rPr>
          <w:rFonts w:ascii="Arial" w:eastAsia="Arial" w:hAnsi="Arial" w:cs="Arial"/>
        </w:rPr>
        <w:t>erreicht</w:t>
      </w:r>
      <w:r w:rsidRPr="005061DC">
        <w:rPr>
          <w:rFonts w:ascii="Arial" w:eastAsia="Arial" w:hAnsi="Arial" w:cs="Arial"/>
        </w:rPr>
        <w:t xml:space="preserve"> wird. Dadurch ist ein zuverlässiger Einsatz auch unter feuchten und klebrigen Boden</w:t>
      </w:r>
      <w:r w:rsidR="00C11884">
        <w:rPr>
          <w:rFonts w:ascii="Arial" w:eastAsia="Arial" w:hAnsi="Arial" w:cs="Arial"/>
        </w:rPr>
        <w:t>verhältnissen</w:t>
      </w:r>
      <w:r w:rsidRPr="005061DC">
        <w:rPr>
          <w:rFonts w:ascii="Arial" w:eastAsia="Arial" w:hAnsi="Arial" w:cs="Arial"/>
        </w:rPr>
        <w:t xml:space="preserve"> </w:t>
      </w:r>
      <w:r w:rsidR="00E52C13">
        <w:rPr>
          <w:rFonts w:ascii="Arial" w:eastAsia="Arial" w:hAnsi="Arial" w:cs="Arial"/>
        </w:rPr>
        <w:t>möglich</w:t>
      </w:r>
      <w:r w:rsidRPr="005061DC">
        <w:rPr>
          <w:rFonts w:ascii="Arial" w:eastAsia="Arial" w:hAnsi="Arial" w:cs="Arial"/>
        </w:rPr>
        <w:t xml:space="preserve">. </w:t>
      </w:r>
    </w:p>
    <w:p w14:paraId="5A01ACF0" w14:textId="159CE08C" w:rsidR="005061DC" w:rsidRDefault="005061DC" w:rsidP="005061DC">
      <w:pPr>
        <w:spacing w:after="120" w:line="360" w:lineRule="auto"/>
        <w:ind w:left="567" w:right="1695"/>
        <w:rPr>
          <w:rFonts w:ascii="Arial" w:eastAsia="Arial" w:hAnsi="Arial" w:cs="Arial"/>
        </w:rPr>
      </w:pPr>
      <w:r w:rsidRPr="005061DC">
        <w:rPr>
          <w:rFonts w:ascii="Arial" w:eastAsia="Arial" w:hAnsi="Arial" w:cs="Arial"/>
        </w:rPr>
        <w:t xml:space="preserve">Das optionale </w:t>
      </w:r>
      <w:proofErr w:type="spellStart"/>
      <w:r w:rsidRPr="005061DC">
        <w:rPr>
          <w:rFonts w:ascii="Arial" w:eastAsia="Arial" w:hAnsi="Arial" w:cs="Arial"/>
        </w:rPr>
        <w:t>Striegelsystem</w:t>
      </w:r>
      <w:proofErr w:type="spellEnd"/>
      <w:r w:rsidRPr="005061DC">
        <w:rPr>
          <w:rFonts w:ascii="Arial" w:eastAsia="Arial" w:hAnsi="Arial" w:cs="Arial"/>
        </w:rPr>
        <w:t xml:space="preserve"> </w:t>
      </w:r>
      <w:r w:rsidR="000F0AEA">
        <w:rPr>
          <w:rFonts w:ascii="Arial" w:eastAsia="Arial" w:hAnsi="Arial" w:cs="Arial"/>
        </w:rPr>
        <w:t xml:space="preserve">führt zu einer </w:t>
      </w:r>
      <w:r w:rsidRPr="005061DC">
        <w:rPr>
          <w:rFonts w:ascii="Arial" w:eastAsia="Arial" w:hAnsi="Arial" w:cs="Arial"/>
        </w:rPr>
        <w:t>noch feinere</w:t>
      </w:r>
      <w:r w:rsidR="000F0AEA">
        <w:rPr>
          <w:rFonts w:ascii="Arial" w:eastAsia="Arial" w:hAnsi="Arial" w:cs="Arial"/>
        </w:rPr>
        <w:t>n</w:t>
      </w:r>
      <w:r w:rsidRPr="005061DC">
        <w:rPr>
          <w:rFonts w:ascii="Arial" w:eastAsia="Arial" w:hAnsi="Arial" w:cs="Arial"/>
        </w:rPr>
        <w:t xml:space="preserve"> </w:t>
      </w:r>
      <w:proofErr w:type="spellStart"/>
      <w:r w:rsidRPr="005061DC">
        <w:rPr>
          <w:rFonts w:ascii="Arial" w:eastAsia="Arial" w:hAnsi="Arial" w:cs="Arial"/>
        </w:rPr>
        <w:t>Krümelung</w:t>
      </w:r>
      <w:proofErr w:type="spellEnd"/>
      <w:r w:rsidRPr="005061DC">
        <w:rPr>
          <w:rFonts w:ascii="Arial" w:eastAsia="Arial" w:hAnsi="Arial" w:cs="Arial"/>
        </w:rPr>
        <w:t xml:space="preserve"> und </w:t>
      </w:r>
      <w:r w:rsidR="00E52C13">
        <w:rPr>
          <w:rFonts w:ascii="Arial" w:eastAsia="Arial" w:hAnsi="Arial" w:cs="Arial"/>
        </w:rPr>
        <w:t>eine</w:t>
      </w:r>
      <w:r w:rsidR="000F0AEA">
        <w:rPr>
          <w:rFonts w:ascii="Arial" w:eastAsia="Arial" w:hAnsi="Arial" w:cs="Arial"/>
        </w:rPr>
        <w:t>r</w:t>
      </w:r>
      <w:r w:rsidR="00E52C13">
        <w:rPr>
          <w:rFonts w:ascii="Arial" w:eastAsia="Arial" w:hAnsi="Arial" w:cs="Arial"/>
        </w:rPr>
        <w:t xml:space="preserve"> </w:t>
      </w:r>
      <w:r w:rsidRPr="005061DC">
        <w:rPr>
          <w:rFonts w:ascii="Arial" w:eastAsia="Arial" w:hAnsi="Arial" w:cs="Arial"/>
        </w:rPr>
        <w:t>intensivere</w:t>
      </w:r>
      <w:r w:rsidR="000F0AEA">
        <w:rPr>
          <w:rFonts w:ascii="Arial" w:eastAsia="Arial" w:hAnsi="Arial" w:cs="Arial"/>
        </w:rPr>
        <w:t>n</w:t>
      </w:r>
      <w:r w:rsidRPr="005061DC">
        <w:rPr>
          <w:rFonts w:ascii="Arial" w:eastAsia="Arial" w:hAnsi="Arial" w:cs="Arial"/>
        </w:rPr>
        <w:t xml:space="preserve"> Einebnung des Bodens. </w:t>
      </w:r>
      <w:r w:rsidR="00E52C13">
        <w:rPr>
          <w:rFonts w:ascii="Arial" w:eastAsia="Arial" w:hAnsi="Arial" w:cs="Arial"/>
        </w:rPr>
        <w:t xml:space="preserve">Gleichzeitig unterstützt </w:t>
      </w:r>
      <w:r w:rsidR="00C11884">
        <w:rPr>
          <w:rFonts w:ascii="Arial" w:eastAsia="Arial" w:hAnsi="Arial" w:cs="Arial"/>
        </w:rPr>
        <w:t xml:space="preserve">das </w:t>
      </w:r>
      <w:proofErr w:type="spellStart"/>
      <w:r w:rsidR="00C11884">
        <w:rPr>
          <w:rFonts w:ascii="Arial" w:eastAsia="Arial" w:hAnsi="Arial" w:cs="Arial"/>
        </w:rPr>
        <w:t>Striegelsystem</w:t>
      </w:r>
      <w:proofErr w:type="spellEnd"/>
      <w:r w:rsidRPr="005061DC">
        <w:rPr>
          <w:rFonts w:ascii="Arial" w:eastAsia="Arial" w:hAnsi="Arial" w:cs="Arial"/>
        </w:rPr>
        <w:t xml:space="preserve"> eine verbesserte Unkrautkontrolle</w:t>
      </w:r>
      <w:r w:rsidR="00E52C13">
        <w:rPr>
          <w:rFonts w:ascii="Arial" w:eastAsia="Arial" w:hAnsi="Arial" w:cs="Arial"/>
        </w:rPr>
        <w:t xml:space="preserve">, indem auflaufendes Getreide </w:t>
      </w:r>
      <w:proofErr w:type="spellStart"/>
      <w:r w:rsidR="00E52C13">
        <w:rPr>
          <w:rFonts w:ascii="Arial" w:eastAsia="Arial" w:hAnsi="Arial" w:cs="Arial"/>
        </w:rPr>
        <w:t>enterdet</w:t>
      </w:r>
      <w:proofErr w:type="spellEnd"/>
      <w:r w:rsidR="00E52C13">
        <w:rPr>
          <w:rFonts w:ascii="Arial" w:eastAsia="Arial" w:hAnsi="Arial" w:cs="Arial"/>
        </w:rPr>
        <w:t xml:space="preserve"> und an der Bodenoberfläche abgelegt wird, wo es vertrocknen kann.</w:t>
      </w:r>
    </w:p>
    <w:p w14:paraId="49A395F9" w14:textId="103C163F" w:rsidR="00EF37B5" w:rsidRDefault="00EF37B5">
      <w:pPr>
        <w:rPr>
          <w:rFonts w:ascii="Arial" w:eastAsia="Arial" w:hAnsi="Arial" w:cs="Arial"/>
        </w:rPr>
      </w:pPr>
      <w:r>
        <w:rPr>
          <w:rFonts w:ascii="Arial" w:eastAsia="Arial" w:hAnsi="Arial" w:cs="Arial"/>
        </w:rPr>
        <w:br w:type="page"/>
      </w:r>
    </w:p>
    <w:p w14:paraId="0D545C8A" w14:textId="290580EF" w:rsidR="005061DC" w:rsidRPr="005061DC" w:rsidRDefault="005061DC" w:rsidP="005061DC">
      <w:pPr>
        <w:spacing w:after="120" w:line="360" w:lineRule="auto"/>
        <w:ind w:left="567" w:right="1695"/>
        <w:rPr>
          <w:rFonts w:ascii="Arial" w:eastAsia="Arial" w:hAnsi="Arial" w:cs="Arial"/>
        </w:rPr>
      </w:pPr>
      <w:r w:rsidRPr="005061DC">
        <w:rPr>
          <w:rFonts w:ascii="Arial" w:eastAsia="Arial" w:hAnsi="Arial" w:cs="Arial"/>
          <w:b/>
          <w:bCs/>
        </w:rPr>
        <w:lastRenderedPageBreak/>
        <w:t>Die Vorteile im Überblick:</w:t>
      </w:r>
    </w:p>
    <w:p w14:paraId="537BA438" w14:textId="1D365BC4" w:rsidR="007639FE" w:rsidRDefault="005061DC" w:rsidP="005061DC">
      <w:pPr>
        <w:spacing w:after="120" w:line="360" w:lineRule="auto"/>
        <w:ind w:left="567" w:right="1695"/>
        <w:rPr>
          <w:rFonts w:ascii="Arial" w:hAnsi="Arial" w:cs="Arial"/>
          <w:bCs/>
        </w:rPr>
      </w:pPr>
      <w:r w:rsidRPr="005061DC">
        <w:rPr>
          <w:rFonts w:ascii="Arial" w:eastAsia="Arial" w:hAnsi="Arial" w:cs="Arial"/>
        </w:rPr>
        <w:t xml:space="preserve">• Gute Abrolleigenschaften durch </w:t>
      </w:r>
      <w:r w:rsidR="00E52C13">
        <w:rPr>
          <w:rFonts w:ascii="Arial" w:eastAsia="Arial" w:hAnsi="Arial" w:cs="Arial"/>
        </w:rPr>
        <w:t>den Walzendurchmesser</w:t>
      </w:r>
      <w:r w:rsidRPr="005061DC">
        <w:rPr>
          <w:rFonts w:ascii="Arial" w:eastAsia="Arial" w:hAnsi="Arial" w:cs="Arial"/>
        </w:rPr>
        <w:t xml:space="preserve"> von 580 mm</w:t>
      </w:r>
      <w:r w:rsidRPr="005061DC">
        <w:rPr>
          <w:rFonts w:ascii="Arial" w:eastAsia="Arial" w:hAnsi="Arial" w:cs="Arial"/>
        </w:rPr>
        <w:br/>
        <w:t xml:space="preserve">• Hohe Tragfähigkeit durch </w:t>
      </w:r>
      <w:r w:rsidR="00C11884">
        <w:rPr>
          <w:rFonts w:ascii="Arial" w:eastAsia="Arial" w:hAnsi="Arial" w:cs="Arial"/>
        </w:rPr>
        <w:t>2</w:t>
      </w:r>
      <w:r w:rsidRPr="005061DC">
        <w:rPr>
          <w:rFonts w:ascii="Arial" w:eastAsia="Arial" w:hAnsi="Arial" w:cs="Arial"/>
        </w:rPr>
        <w:t xml:space="preserve"> Walzenkörper und stabile</w:t>
      </w:r>
      <w:r w:rsidR="00E52C13">
        <w:rPr>
          <w:rFonts w:ascii="Arial" w:eastAsia="Arial" w:hAnsi="Arial" w:cs="Arial"/>
        </w:rPr>
        <w:t xml:space="preserve"> </w:t>
      </w:r>
      <w:r w:rsidRPr="005061DC">
        <w:rPr>
          <w:rFonts w:ascii="Arial" w:eastAsia="Arial" w:hAnsi="Arial" w:cs="Arial"/>
        </w:rPr>
        <w:t>Federringe</w:t>
      </w:r>
      <w:r w:rsidRPr="005061DC">
        <w:rPr>
          <w:rFonts w:ascii="Arial" w:eastAsia="Arial" w:hAnsi="Arial" w:cs="Arial"/>
        </w:rPr>
        <w:br/>
        <w:t>• Für wechselnde Bodenarten geeignet – von sandig bis lehmig</w:t>
      </w:r>
      <w:r w:rsidRPr="005061DC">
        <w:rPr>
          <w:rFonts w:ascii="Arial" w:eastAsia="Arial" w:hAnsi="Arial" w:cs="Arial"/>
        </w:rPr>
        <w:br/>
        <w:t>• Tiefgehende Rückverfestigung bei</w:t>
      </w:r>
      <w:r w:rsidR="00E52C13">
        <w:rPr>
          <w:rFonts w:ascii="Arial" w:eastAsia="Arial" w:hAnsi="Arial" w:cs="Arial"/>
        </w:rPr>
        <w:t xml:space="preserve"> gleichzeitig</w:t>
      </w:r>
      <w:r w:rsidRPr="005061DC">
        <w:rPr>
          <w:rFonts w:ascii="Arial" w:eastAsia="Arial" w:hAnsi="Arial" w:cs="Arial"/>
        </w:rPr>
        <w:t xml:space="preserve"> lockerer Bodenoberfläche</w:t>
      </w:r>
      <w:r w:rsidRPr="005061DC">
        <w:rPr>
          <w:rFonts w:ascii="Arial" w:eastAsia="Arial" w:hAnsi="Arial" w:cs="Arial"/>
        </w:rPr>
        <w:br/>
        <w:t xml:space="preserve">• </w:t>
      </w:r>
      <w:proofErr w:type="gramStart"/>
      <w:r w:rsidRPr="005061DC">
        <w:rPr>
          <w:rFonts w:ascii="Arial" w:eastAsia="Arial" w:hAnsi="Arial" w:cs="Arial"/>
        </w:rPr>
        <w:t>Sehr</w:t>
      </w:r>
      <w:proofErr w:type="gramEnd"/>
      <w:r w:rsidRPr="005061DC">
        <w:rPr>
          <w:rFonts w:ascii="Arial" w:eastAsia="Arial" w:hAnsi="Arial" w:cs="Arial"/>
        </w:rPr>
        <w:t xml:space="preserve"> gute </w:t>
      </w:r>
      <w:r w:rsidR="00F14086" w:rsidRPr="005061DC">
        <w:rPr>
          <w:rFonts w:ascii="Arial" w:eastAsia="Arial" w:hAnsi="Arial" w:cs="Arial"/>
        </w:rPr>
        <w:t xml:space="preserve">Krümelwirkung und </w:t>
      </w:r>
      <w:r w:rsidR="00C11884">
        <w:rPr>
          <w:rFonts w:ascii="Arial" w:eastAsia="Arial" w:hAnsi="Arial" w:cs="Arial"/>
        </w:rPr>
        <w:t xml:space="preserve">sehr gute </w:t>
      </w:r>
      <w:r w:rsidRPr="005061DC">
        <w:rPr>
          <w:rFonts w:ascii="Arial" w:eastAsia="Arial" w:hAnsi="Arial" w:cs="Arial"/>
        </w:rPr>
        <w:t>Reinigungs</w:t>
      </w:r>
      <w:r w:rsidR="00F14086">
        <w:rPr>
          <w:rFonts w:ascii="Arial" w:eastAsia="Arial" w:hAnsi="Arial" w:cs="Arial"/>
        </w:rPr>
        <w:t>eigenschaften</w:t>
      </w:r>
      <w:r w:rsidRPr="005061DC">
        <w:rPr>
          <w:rFonts w:ascii="Arial" w:eastAsia="Arial" w:hAnsi="Arial" w:cs="Arial"/>
        </w:rPr>
        <w:t xml:space="preserve"> durch </w:t>
      </w:r>
      <w:r w:rsidR="00E52C13">
        <w:rPr>
          <w:rFonts w:ascii="Arial" w:eastAsia="Arial" w:hAnsi="Arial" w:cs="Arial"/>
        </w:rPr>
        <w:t xml:space="preserve">permanent </w:t>
      </w:r>
      <w:r w:rsidRPr="005061DC">
        <w:rPr>
          <w:rFonts w:ascii="Arial" w:eastAsia="Arial" w:hAnsi="Arial" w:cs="Arial"/>
        </w:rPr>
        <w:t>federnde Ringe</w:t>
      </w:r>
    </w:p>
    <w:p w14:paraId="4957DACD" w14:textId="77777777" w:rsidR="007639FE" w:rsidRDefault="007639FE" w:rsidP="007639FE">
      <w:pPr>
        <w:spacing w:after="120" w:line="360" w:lineRule="auto"/>
        <w:ind w:left="567" w:right="1695"/>
        <w:rPr>
          <w:rFonts w:ascii="Arial" w:hAnsi="Arial" w:cs="Arial"/>
          <w:bCs/>
        </w:rPr>
      </w:pPr>
    </w:p>
    <w:p w14:paraId="4A71B7E0" w14:textId="5D2367B3" w:rsidR="007639FE" w:rsidRDefault="00C44956" w:rsidP="007639FE">
      <w:pPr>
        <w:spacing w:after="120" w:line="360" w:lineRule="auto"/>
        <w:ind w:left="567" w:right="1695"/>
        <w:rPr>
          <w:rFonts w:ascii="Arial" w:hAnsi="Arial" w:cs="Arial"/>
          <w:bCs/>
        </w:rPr>
      </w:pPr>
      <w:r>
        <w:rPr>
          <w:rFonts w:ascii="Arial" w:hAnsi="Arial" w:cs="Arial"/>
          <w:bCs/>
          <w:noProof/>
        </w:rPr>
        <w:drawing>
          <wp:inline distT="0" distB="0" distL="0" distR="0" wp14:anchorId="70150CED" wp14:editId="09980BB3">
            <wp:extent cx="5486400" cy="3657600"/>
            <wp:effectExtent l="0" t="0" r="0" b="0"/>
            <wp:docPr id="1617958193"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0" cy="3657600"/>
                    </a:xfrm>
                    <a:prstGeom prst="rect">
                      <a:avLst/>
                    </a:prstGeom>
                    <a:noFill/>
                    <a:ln>
                      <a:noFill/>
                    </a:ln>
                  </pic:spPr>
                </pic:pic>
              </a:graphicData>
            </a:graphic>
          </wp:inline>
        </w:drawing>
      </w:r>
    </w:p>
    <w:p w14:paraId="477C6E56" w14:textId="1F7BDBD6" w:rsidR="00EF37B5" w:rsidRDefault="00EF37B5" w:rsidP="00EF37B5">
      <w:pPr>
        <w:spacing w:after="120" w:line="360" w:lineRule="auto"/>
        <w:ind w:left="567" w:right="1695"/>
        <w:rPr>
          <w:rFonts w:ascii="Arial" w:hAnsi="Arial" w:cs="Arial"/>
          <w:bCs/>
        </w:rPr>
      </w:pPr>
      <w:r>
        <w:rPr>
          <w:rStyle w:val="Fett"/>
          <w:rFonts w:asciiTheme="minorHAnsi" w:eastAsiaTheme="majorEastAsia" w:hAnsiTheme="minorHAnsi" w:cstheme="minorHAnsi"/>
          <w:noProof/>
          <w:sz w:val="28"/>
          <w:szCs w:val="28"/>
        </w:rPr>
        <w:lastRenderedPageBreak/>
        <w:drawing>
          <wp:inline distT="0" distB="0" distL="0" distR="0" wp14:anchorId="16FDCE1C" wp14:editId="2F70DA4F">
            <wp:extent cx="4572000" cy="3362325"/>
            <wp:effectExtent l="0" t="0" r="0" b="9525"/>
            <wp:docPr id="491630877"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0" cy="3362325"/>
                    </a:xfrm>
                    <a:prstGeom prst="rect">
                      <a:avLst/>
                    </a:prstGeom>
                    <a:noFill/>
                    <a:ln>
                      <a:noFill/>
                    </a:ln>
                  </pic:spPr>
                </pic:pic>
              </a:graphicData>
            </a:graphic>
          </wp:inline>
        </w:drawing>
      </w:r>
    </w:p>
    <w:p w14:paraId="78DFBB85" w14:textId="060109A6" w:rsidR="00EF37B5" w:rsidRDefault="00EF37B5" w:rsidP="00EF37B5">
      <w:pPr>
        <w:spacing w:after="120" w:line="360" w:lineRule="auto"/>
        <w:ind w:left="567" w:right="1695"/>
        <w:rPr>
          <w:rFonts w:ascii="Arial" w:hAnsi="Arial" w:cs="Arial"/>
          <w:bCs/>
        </w:rPr>
      </w:pPr>
      <w:r>
        <w:rPr>
          <w:rFonts w:ascii="Arial" w:hAnsi="Arial" w:cs="Arial"/>
          <w:bCs/>
        </w:rPr>
        <w:t>AMAZONE Doppel-Federringwalze DFW 580 im Einsatz mit Anbaugrubber Cenio 4000-2 Super</w:t>
      </w:r>
      <w:r w:rsidR="005750D6">
        <w:rPr>
          <w:rFonts w:ascii="Arial" w:hAnsi="Arial" w:cs="Arial"/>
          <w:bCs/>
        </w:rPr>
        <w:t xml:space="preserve"> in 4 m Arbeitsbreite</w:t>
      </w:r>
      <w:r>
        <w:rPr>
          <w:rFonts w:ascii="Arial" w:hAnsi="Arial" w:cs="Arial"/>
          <w:bCs/>
        </w:rPr>
        <w:t>.</w:t>
      </w:r>
    </w:p>
    <w:p w14:paraId="7098AB72" w14:textId="000C558E" w:rsidR="00C44956" w:rsidRDefault="00EF37B5" w:rsidP="007639FE">
      <w:pPr>
        <w:spacing w:after="120" w:line="360" w:lineRule="auto"/>
        <w:ind w:left="567" w:right="1695"/>
        <w:rPr>
          <w:rFonts w:ascii="Arial" w:hAnsi="Arial" w:cs="Arial"/>
          <w:bCs/>
        </w:rPr>
      </w:pPr>
      <w:r>
        <w:rPr>
          <w:rFonts w:ascii="Arial" w:hAnsi="Arial" w:cs="Arial"/>
          <w:bCs/>
          <w:noProof/>
        </w:rPr>
        <w:drawing>
          <wp:inline distT="0" distB="0" distL="0" distR="0" wp14:anchorId="743AEB92" wp14:editId="6532EA37">
            <wp:extent cx="4572000" cy="3436620"/>
            <wp:effectExtent l="0" t="0" r="0" b="0"/>
            <wp:docPr id="1407674104"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0" cy="3436620"/>
                    </a:xfrm>
                    <a:prstGeom prst="rect">
                      <a:avLst/>
                    </a:prstGeom>
                    <a:noFill/>
                    <a:ln>
                      <a:noFill/>
                    </a:ln>
                  </pic:spPr>
                </pic:pic>
              </a:graphicData>
            </a:graphic>
          </wp:inline>
        </w:drawing>
      </w:r>
    </w:p>
    <w:p w14:paraId="1AA964F9" w14:textId="5DC892F9" w:rsidR="00EF37B5" w:rsidRDefault="00EF37B5" w:rsidP="00EF37B5">
      <w:pPr>
        <w:spacing w:after="120" w:line="360" w:lineRule="auto"/>
        <w:ind w:left="567" w:right="1695"/>
        <w:rPr>
          <w:rFonts w:ascii="Arial" w:hAnsi="Arial" w:cs="Arial"/>
          <w:bCs/>
        </w:rPr>
      </w:pPr>
      <w:r>
        <w:rPr>
          <w:rFonts w:ascii="Arial" w:hAnsi="Arial" w:cs="Arial"/>
          <w:bCs/>
        </w:rPr>
        <w:t xml:space="preserve">AMAZONE Doppel-Federringwalze DFW 580 im Einsatz mit </w:t>
      </w:r>
      <w:r w:rsidR="00E126BC">
        <w:rPr>
          <w:rFonts w:ascii="Arial" w:hAnsi="Arial" w:cs="Arial"/>
          <w:bCs/>
        </w:rPr>
        <w:t xml:space="preserve">Anbau-Kompaktscheibenegge </w:t>
      </w:r>
      <w:proofErr w:type="spellStart"/>
      <w:r w:rsidR="00E126BC">
        <w:rPr>
          <w:rFonts w:ascii="Arial" w:hAnsi="Arial" w:cs="Arial"/>
          <w:bCs/>
        </w:rPr>
        <w:t>Catros</w:t>
      </w:r>
      <w:proofErr w:type="spellEnd"/>
      <w:r w:rsidR="00E126BC" w:rsidRPr="00E126BC">
        <w:rPr>
          <w:rFonts w:ascii="Arial" w:hAnsi="Arial" w:cs="Arial"/>
          <w:bCs/>
          <w:vertAlign w:val="superscript"/>
        </w:rPr>
        <w:t>+</w:t>
      </w:r>
      <w:r w:rsidR="00E126BC">
        <w:rPr>
          <w:rFonts w:ascii="Arial" w:hAnsi="Arial" w:cs="Arial"/>
          <w:bCs/>
        </w:rPr>
        <w:t xml:space="preserve"> 5003-2</w:t>
      </w:r>
      <w:r w:rsidR="005750D6">
        <w:rPr>
          <w:rFonts w:ascii="Arial" w:hAnsi="Arial" w:cs="Arial"/>
          <w:bCs/>
        </w:rPr>
        <w:t xml:space="preserve"> in 5 m Arbeitsbreite</w:t>
      </w:r>
      <w:r>
        <w:rPr>
          <w:rFonts w:ascii="Arial" w:hAnsi="Arial" w:cs="Arial"/>
          <w:bCs/>
        </w:rPr>
        <w:t>.</w:t>
      </w:r>
    </w:p>
    <w:p w14:paraId="07A7D835" w14:textId="10602ABE" w:rsidR="004A4E71" w:rsidRDefault="004A4E71">
      <w:pPr>
        <w:rPr>
          <w:rFonts w:ascii="Arial" w:hAnsi="Arial" w:cs="Arial"/>
          <w:bCs/>
        </w:rPr>
      </w:pPr>
    </w:p>
    <w:p w14:paraId="4D1E15D6"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sidRPr="00D27732">
        <w:rPr>
          <w:rFonts w:ascii="Arial" w:hAnsi="Arial" w:cs="Arial"/>
          <w:bCs/>
          <w:color w:val="808080" w:themeColor="background1" w:themeShade="80"/>
          <w:sz w:val="20"/>
          <w:szCs w:val="20"/>
        </w:rPr>
        <w:t>Abbildungen, Inhalt und Angaben über technische Daten sind unverbindlich und können ausstattungsbedingt abweichen. Die gültigen Bestimmungen von länderspezifischen Straßenverkehrsvorschriften sind einzuhalten, sodass eine besondere Genehmigungspflicht entstehen kann. Die zulässigen Achslasten und Gesamtgewichte der Traktoren sind zu überprüfen. Nicht alle aufgeführten Kombinationsmöglichkeiten sind bei allen Traktorherstellern realisierbar.</w:t>
      </w:r>
    </w:p>
    <w:p w14:paraId="16388F82" w14:textId="77777777" w:rsidR="0006424B" w:rsidRDefault="0006424B" w:rsidP="0006424B">
      <w:pPr>
        <w:tabs>
          <w:tab w:val="left" w:pos="3550"/>
        </w:tabs>
        <w:spacing w:line="360" w:lineRule="auto"/>
        <w:ind w:left="567" w:right="1128"/>
        <w:rPr>
          <w:rFonts w:ascii="Arial" w:hAnsi="Arial" w:cs="Arial"/>
          <w:b/>
          <w:bCs/>
          <w:color w:val="808080" w:themeColor="background1" w:themeShade="80"/>
          <w:sz w:val="20"/>
          <w:szCs w:val="20"/>
        </w:rPr>
      </w:pPr>
    </w:p>
    <w:p w14:paraId="12E61CC3" w14:textId="77777777" w:rsidR="0006424B" w:rsidRPr="00D27732" w:rsidRDefault="0006424B" w:rsidP="0006424B">
      <w:pPr>
        <w:tabs>
          <w:tab w:val="left" w:pos="3550"/>
        </w:tabs>
        <w:spacing w:line="360" w:lineRule="auto"/>
        <w:ind w:left="567" w:right="1128"/>
        <w:rPr>
          <w:rFonts w:ascii="Arial" w:hAnsi="Arial" w:cs="Arial"/>
          <w:b/>
          <w:bCs/>
          <w:color w:val="808080" w:themeColor="background1" w:themeShade="80"/>
          <w:sz w:val="20"/>
          <w:szCs w:val="20"/>
        </w:rPr>
      </w:pPr>
      <w:r w:rsidRPr="00E12CE4">
        <w:rPr>
          <w:rFonts w:ascii="Arial" w:hAnsi="Arial" w:cs="Arial"/>
          <w:b/>
          <w:bCs/>
          <w:color w:val="808080" w:themeColor="background1" w:themeShade="80"/>
          <w:sz w:val="20"/>
          <w:szCs w:val="20"/>
        </w:rPr>
        <w:t>Über AMAZONE</w:t>
      </w:r>
    </w:p>
    <w:p w14:paraId="20EA109A" w14:textId="77777777" w:rsidR="0006424B" w:rsidRPr="00E12CE4" w:rsidRDefault="0006424B" w:rsidP="0006424B">
      <w:pPr>
        <w:tabs>
          <w:tab w:val="left" w:pos="3550"/>
        </w:tabs>
        <w:spacing w:line="360" w:lineRule="auto"/>
        <w:ind w:left="567" w:right="1677"/>
        <w:rPr>
          <w:rFonts w:ascii="Arial" w:hAnsi="Arial" w:cs="Arial"/>
          <w:bCs/>
          <w:color w:val="808080" w:themeColor="background1" w:themeShade="80"/>
          <w:sz w:val="20"/>
          <w:szCs w:val="20"/>
        </w:rPr>
      </w:pPr>
      <w:r w:rsidRPr="00E12CE4">
        <w:rPr>
          <w:rFonts w:ascii="Arial" w:hAnsi="Arial" w:cs="Arial"/>
          <w:bCs/>
          <w:color w:val="808080" w:themeColor="background1" w:themeShade="80"/>
          <w:sz w:val="20"/>
          <w:szCs w:val="20"/>
        </w:rPr>
        <w:t xml:space="preserve">Die AMAZONEN-WERKE H. </w:t>
      </w:r>
      <w:r>
        <w:rPr>
          <w:rFonts w:ascii="Arial" w:hAnsi="Arial" w:cs="Arial"/>
          <w:bCs/>
          <w:color w:val="808080" w:themeColor="background1" w:themeShade="80"/>
          <w:sz w:val="20"/>
          <w:szCs w:val="20"/>
        </w:rPr>
        <w:t>DREYER</w:t>
      </w:r>
      <w:r w:rsidRPr="00E12CE4">
        <w:rPr>
          <w:rFonts w:ascii="Arial" w:hAnsi="Arial" w:cs="Arial"/>
          <w:bCs/>
          <w:color w:val="808080" w:themeColor="background1" w:themeShade="80"/>
          <w:sz w:val="20"/>
          <w:szCs w:val="20"/>
        </w:rPr>
        <w:t xml:space="preserve"> </w:t>
      </w:r>
      <w:r>
        <w:rPr>
          <w:rFonts w:ascii="Arial" w:hAnsi="Arial" w:cs="Arial"/>
          <w:bCs/>
          <w:color w:val="808080" w:themeColor="background1" w:themeShade="80"/>
          <w:sz w:val="20"/>
          <w:szCs w:val="20"/>
        </w:rPr>
        <w:t>SE</w:t>
      </w:r>
      <w:r w:rsidRPr="00E12CE4">
        <w:rPr>
          <w:rFonts w:ascii="Arial" w:hAnsi="Arial" w:cs="Arial"/>
          <w:bCs/>
          <w:color w:val="808080" w:themeColor="background1" w:themeShade="80"/>
          <w:sz w:val="20"/>
          <w:szCs w:val="20"/>
        </w:rPr>
        <w:t xml:space="preserve"> &amp; Co.</w:t>
      </w:r>
      <w:r>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KG mit Hauptsitz in 49205 Hasbergen-Gaste stellen Land</w:t>
      </w:r>
      <w:r>
        <w:rPr>
          <w:rFonts w:ascii="Arial" w:hAnsi="Arial" w:cs="Arial"/>
          <w:bCs/>
          <w:color w:val="808080" w:themeColor="background1" w:themeShade="80"/>
          <w:sz w:val="20"/>
          <w:szCs w:val="20"/>
        </w:rPr>
        <w:t>maschinen</w:t>
      </w:r>
      <w:r w:rsidRPr="00E12CE4">
        <w:rPr>
          <w:rFonts w:ascii="Arial" w:hAnsi="Arial" w:cs="Arial"/>
          <w:bCs/>
          <w:color w:val="808080" w:themeColor="background1" w:themeShade="80"/>
          <w:sz w:val="20"/>
          <w:szCs w:val="20"/>
        </w:rPr>
        <w:t xml:space="preserve"> und Kommunalmaschinen her. Das inhabergeführte Unternehmen beschäftigt</w:t>
      </w:r>
      <w:r w:rsidRPr="00CB59E3">
        <w:rPr>
          <w:rFonts w:ascii="Arial" w:hAnsi="Arial" w:cs="Arial"/>
          <w:bCs/>
          <w:color w:val="808080" w:themeColor="background1" w:themeShade="80"/>
          <w:sz w:val="20"/>
          <w:szCs w:val="20"/>
        </w:rPr>
        <w:t xml:space="preserve"> </w:t>
      </w:r>
      <w:r w:rsidRPr="008137DC">
        <w:rPr>
          <w:rFonts w:ascii="Arial" w:hAnsi="Arial" w:cs="Arial"/>
          <w:bCs/>
          <w:color w:val="808080" w:themeColor="background1" w:themeShade="80"/>
          <w:sz w:val="20"/>
          <w:szCs w:val="20"/>
        </w:rPr>
        <w:t>rund 2.700</w:t>
      </w:r>
      <w:r w:rsidRPr="00E12CE4">
        <w:rPr>
          <w:rFonts w:ascii="Arial" w:hAnsi="Arial" w:cs="Arial"/>
          <w:bCs/>
          <w:color w:val="808080" w:themeColor="background1" w:themeShade="80"/>
          <w:sz w:val="20"/>
          <w:szCs w:val="20"/>
        </w:rPr>
        <w:t xml:space="preserve"> Mitarbeite</w:t>
      </w:r>
      <w:r>
        <w:rPr>
          <w:rFonts w:ascii="Arial" w:hAnsi="Arial" w:cs="Arial"/>
          <w:bCs/>
          <w:color w:val="808080" w:themeColor="background1" w:themeShade="80"/>
          <w:sz w:val="20"/>
          <w:szCs w:val="20"/>
        </w:rPr>
        <w:t>nde</w:t>
      </w:r>
      <w:r w:rsidRPr="00E12CE4">
        <w:rPr>
          <w:rFonts w:ascii="Arial" w:hAnsi="Arial" w:cs="Arial"/>
          <w:bCs/>
          <w:color w:val="808080" w:themeColor="background1" w:themeShade="80"/>
          <w:sz w:val="20"/>
          <w:szCs w:val="20"/>
        </w:rPr>
        <w:t xml:space="preserve"> an </w:t>
      </w:r>
      <w:r>
        <w:rPr>
          <w:rFonts w:ascii="Arial" w:hAnsi="Arial" w:cs="Arial"/>
          <w:bCs/>
          <w:color w:val="808080" w:themeColor="background1" w:themeShade="80"/>
          <w:sz w:val="20"/>
          <w:szCs w:val="20"/>
        </w:rPr>
        <w:t>8</w:t>
      </w:r>
      <w:r w:rsidRPr="008137DC">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Produktion</w:t>
      </w:r>
      <w:r>
        <w:rPr>
          <w:rFonts w:ascii="Arial" w:hAnsi="Arial" w:cs="Arial"/>
          <w:bCs/>
          <w:color w:val="808080" w:themeColor="background1" w:themeShade="80"/>
          <w:sz w:val="20"/>
          <w:szCs w:val="20"/>
        </w:rPr>
        <w:t>s</w:t>
      </w:r>
      <w:r w:rsidRPr="00E12CE4">
        <w:rPr>
          <w:rFonts w:ascii="Arial" w:hAnsi="Arial" w:cs="Arial"/>
          <w:bCs/>
          <w:color w:val="808080" w:themeColor="background1" w:themeShade="80"/>
          <w:sz w:val="20"/>
          <w:szCs w:val="20"/>
        </w:rPr>
        <w:t>standorten</w:t>
      </w:r>
      <w:r>
        <w:rPr>
          <w:rFonts w:ascii="Arial" w:hAnsi="Arial" w:cs="Arial"/>
          <w:bCs/>
          <w:color w:val="808080" w:themeColor="background1" w:themeShade="80"/>
          <w:sz w:val="20"/>
          <w:szCs w:val="20"/>
        </w:rPr>
        <w:t>, Global Parts Center und Global Machinery Center sowie 11 Vertriebsniederlassungen</w:t>
      </w:r>
      <w:r w:rsidRPr="00E12CE4">
        <w:rPr>
          <w:rFonts w:ascii="Arial" w:hAnsi="Arial" w:cs="Arial"/>
          <w:bCs/>
          <w:color w:val="808080" w:themeColor="background1" w:themeShade="80"/>
          <w:sz w:val="20"/>
          <w:szCs w:val="20"/>
        </w:rPr>
        <w:t>. Zum Landmaschinenprogramm zählen Bodenbearbeitungsgeräte, Sämaschinen, Düngerstreuer</w:t>
      </w:r>
      <w:r>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Pflanzenschutzgeräte</w:t>
      </w:r>
      <w:r>
        <w:rPr>
          <w:rFonts w:ascii="Arial" w:hAnsi="Arial" w:cs="Arial"/>
          <w:bCs/>
          <w:color w:val="808080" w:themeColor="background1" w:themeShade="80"/>
          <w:sz w:val="20"/>
          <w:szCs w:val="20"/>
        </w:rPr>
        <w:t xml:space="preserve"> und Hacktechnik. </w:t>
      </w:r>
      <w:r w:rsidRPr="00E12CE4">
        <w:rPr>
          <w:rFonts w:ascii="Arial" w:hAnsi="Arial" w:cs="Arial"/>
          <w:bCs/>
          <w:color w:val="808080" w:themeColor="background1" w:themeShade="80"/>
          <w:sz w:val="20"/>
          <w:szCs w:val="20"/>
        </w:rPr>
        <w:t xml:space="preserve">Auf Basis dieser Kernkompetenzen ist AMAZONE heute der Spezialist für den „Intelligenten Pflanzenbau“ in der Landwirtschaft. </w:t>
      </w:r>
      <w:r>
        <w:rPr>
          <w:rFonts w:ascii="Arial" w:hAnsi="Arial" w:cs="Arial"/>
          <w:bCs/>
          <w:color w:val="808080" w:themeColor="background1" w:themeShade="80"/>
          <w:sz w:val="20"/>
          <w:szCs w:val="20"/>
        </w:rPr>
        <w:t xml:space="preserve">Darüber hinaus bietet AMAZONE vielseitig einsetzbare </w:t>
      </w:r>
      <w:r w:rsidRPr="002B22D4">
        <w:rPr>
          <w:rFonts w:ascii="Arial" w:hAnsi="Arial" w:cs="Arial"/>
          <w:bCs/>
          <w:color w:val="808080" w:themeColor="background1" w:themeShade="80"/>
          <w:sz w:val="20"/>
          <w:szCs w:val="20"/>
        </w:rPr>
        <w:t>Kommunalmaschinen für die Park- und Grünflächenpflege sowie den Winterdienst</w:t>
      </w:r>
      <w:r>
        <w:rPr>
          <w:rFonts w:ascii="Arial" w:hAnsi="Arial" w:cs="Arial"/>
          <w:bCs/>
          <w:color w:val="808080" w:themeColor="background1" w:themeShade="80"/>
          <w:sz w:val="20"/>
          <w:szCs w:val="20"/>
        </w:rPr>
        <w:t xml:space="preserve"> an. </w:t>
      </w:r>
      <w:r w:rsidRPr="00E12CE4">
        <w:rPr>
          <w:rFonts w:ascii="Arial" w:hAnsi="Arial" w:cs="Arial"/>
          <w:bCs/>
          <w:color w:val="808080" w:themeColor="background1" w:themeShade="80"/>
          <w:sz w:val="20"/>
          <w:szCs w:val="20"/>
        </w:rPr>
        <w:t xml:space="preserve">Weitere Informationen: </w:t>
      </w:r>
      <w:hyperlink r:id="rId11" w:history="1">
        <w:r w:rsidRPr="00473EF8">
          <w:rPr>
            <w:rStyle w:val="Hyperlink"/>
            <w:rFonts w:ascii="Arial" w:hAnsi="Arial" w:cs="Arial"/>
            <w:bCs/>
            <w:sz w:val="20"/>
            <w:szCs w:val="20"/>
          </w:rPr>
          <w:t>www.amazone.de</w:t>
        </w:r>
      </w:hyperlink>
    </w:p>
    <w:p w14:paraId="4E8B9A6B" w14:textId="77777777" w:rsidR="0006424B" w:rsidRDefault="0006424B" w:rsidP="0006424B">
      <w:pPr>
        <w:tabs>
          <w:tab w:val="left" w:pos="3550"/>
        </w:tabs>
        <w:spacing w:line="360" w:lineRule="auto"/>
        <w:ind w:left="567" w:right="1128"/>
      </w:pPr>
      <w:r w:rsidRPr="00E12CE4">
        <w:rPr>
          <w:noProof/>
          <w:color w:val="0563C1"/>
        </w:rPr>
        <w:drawing>
          <wp:inline distT="0" distB="0" distL="0" distR="0" wp14:anchorId="414511C4" wp14:editId="11C774F5">
            <wp:extent cx="241300" cy="241300"/>
            <wp:effectExtent l="0" t="0" r="6350" b="6350"/>
            <wp:docPr id="13" name="Grafik 13" descr="Ein Bild, das Symbol enthält.&#10;&#10;KI-generierte Inhalte können fehlerhaft sein.">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2BDE8BEF" wp14:editId="13AB1AC1">
            <wp:extent cx="241300" cy="241300"/>
            <wp:effectExtent l="0" t="0" r="6350" b="6350"/>
            <wp:docPr id="12" name="Grafik 12" descr="Ein Bild, das Kreis, Design enthält.&#10;&#10;KI-generierte Inhalte können fehlerhaft sein.">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262E2A2B" wp14:editId="5414751C">
            <wp:extent cx="241300" cy="241300"/>
            <wp:effectExtent l="0" t="0" r="6350" b="6350"/>
            <wp:docPr id="11" name="Grafik 11" descr="Ein Bild, das Kreis, Design enthält.&#10;&#10;KI-generierte Inhalte können fehlerhaft sein.">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2FDD8392" wp14:editId="600D4E0E">
            <wp:extent cx="241300" cy="241300"/>
            <wp:effectExtent l="0" t="0" r="6350" b="6350"/>
            <wp:docPr id="10" name="Grafik 10" descr="Ein Bild, das Symbol, Kreis enthält.&#10;&#10;KI-generierte Inhalte können fehlerhaft sein.">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79785D01" wp14:editId="1994DB1D">
            <wp:extent cx="241300" cy="241300"/>
            <wp:effectExtent l="0" t="0" r="6350" b="6350"/>
            <wp:docPr id="7" name="Grafik 7" descr="Ein Bild, das Text, Symbol, Design enthält.&#10;&#10;KI-generierte Inhalte können fehlerhaft sein.">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p>
    <w:p w14:paraId="5CAFD6BB" w14:textId="77777777" w:rsidR="00A42ED2" w:rsidRDefault="00A42ED2" w:rsidP="00A42ED2">
      <w:pPr>
        <w:spacing w:after="120" w:line="360" w:lineRule="auto"/>
        <w:ind w:left="567" w:right="1695"/>
        <w:rPr>
          <w:rFonts w:ascii="Arial" w:hAnsi="Arial" w:cs="Arial"/>
          <w:bCs/>
        </w:rPr>
      </w:pPr>
    </w:p>
    <w:sectPr w:rsidR="00A42ED2" w:rsidSect="00C7362D">
      <w:headerReference w:type="default" r:id="rId27"/>
      <w:footerReference w:type="default" r:id="rId28"/>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C9D79" w14:textId="77777777" w:rsidR="00AB5E87" w:rsidRDefault="00AB5E87">
      <w:r>
        <w:separator/>
      </w:r>
    </w:p>
  </w:endnote>
  <w:endnote w:type="continuationSeparator" w:id="0">
    <w:p w14:paraId="41DFBBBC" w14:textId="77777777" w:rsidR="00AB5E87" w:rsidRDefault="00AB5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AE547"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2AB41326" wp14:editId="594F6109">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AAE7D6D"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41326"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3AAE7D6D"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554A7401" wp14:editId="24512D1F">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998294E"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593CC12C" wp14:editId="0ACB96B2">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720F7A0"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3F60D8BF" wp14:editId="0167E611">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0E3FEE7"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75B6CD6A"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60D8BF"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70E3FEE7"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75B6CD6A"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69FA7" w14:textId="77777777" w:rsidR="00AB5E87" w:rsidRDefault="00AB5E87">
      <w:r>
        <w:separator/>
      </w:r>
    </w:p>
  </w:footnote>
  <w:footnote w:type="continuationSeparator" w:id="0">
    <w:p w14:paraId="0C01EC83" w14:textId="77777777" w:rsidR="00AB5E87" w:rsidRDefault="00AB5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4AEA6" w14:textId="77777777" w:rsidR="005E0980" w:rsidRDefault="004A4E71">
    <w:pPr>
      <w:pStyle w:val="Kopfzeile"/>
    </w:pPr>
    <w:r w:rsidRPr="00BC65EA">
      <w:rPr>
        <w:noProof/>
      </w:rPr>
      <mc:AlternateContent>
        <mc:Choice Requires="wps">
          <w:drawing>
            <wp:anchor distT="0" distB="0" distL="114300" distR="114300" simplePos="0" relativeHeight="251668480" behindDoc="0" locked="0" layoutInCell="1" allowOverlap="1" wp14:anchorId="1A67B441" wp14:editId="177AEBA5">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6665D8F" w14:textId="5A113F1A" w:rsidR="004A4E71" w:rsidRPr="00E50E51" w:rsidRDefault="004A4E71" w:rsidP="004A4E71">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sidR="005061DC">
                            <w:rPr>
                              <w:rFonts w:ascii="Arial" w:hAnsi="Arial" w:cs="Arial"/>
                              <w:color w:val="FFFFFF" w:themeColor="background1"/>
                              <w:kern w:val="24"/>
                              <w:sz w:val="28"/>
                              <w:szCs w:val="28"/>
                            </w:rPr>
                            <w:t>Ju</w:t>
                          </w:r>
                          <w:r w:rsidR="006A306B">
                            <w:rPr>
                              <w:rFonts w:ascii="Arial" w:hAnsi="Arial" w:cs="Arial"/>
                              <w:color w:val="FFFFFF" w:themeColor="background1"/>
                              <w:kern w:val="24"/>
                              <w:sz w:val="28"/>
                              <w:szCs w:val="28"/>
                            </w:rPr>
                            <w:t>l</w:t>
                          </w:r>
                          <w:r w:rsidR="005061DC">
                            <w:rPr>
                              <w:rFonts w:ascii="Arial" w:hAnsi="Arial" w:cs="Arial"/>
                              <w:color w:val="FFFFFF" w:themeColor="background1"/>
                              <w:kern w:val="24"/>
                              <w:sz w:val="28"/>
                              <w:szCs w:val="28"/>
                            </w:rPr>
                            <w:t>i</w:t>
                          </w:r>
                          <w:r w:rsidR="005F12CA">
                            <w:rPr>
                              <w:rFonts w:ascii="Arial" w:hAnsi="Arial" w:cs="Arial"/>
                              <w:color w:val="FFFFFF" w:themeColor="background1"/>
                              <w:kern w:val="24"/>
                              <w:sz w:val="28"/>
                              <w:szCs w:val="28"/>
                            </w:rPr>
                            <w:t xml:space="preserve"> </w:t>
                          </w:r>
                          <w:r w:rsidR="0006424B">
                            <w:rPr>
                              <w:rFonts w:ascii="Arial" w:hAnsi="Arial" w:cs="Arial"/>
                              <w:color w:val="FFFFFF" w:themeColor="background1"/>
                              <w:kern w:val="24"/>
                              <w:sz w:val="28"/>
                              <w:szCs w:val="28"/>
                            </w:rPr>
                            <w:t>2026</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A67B441"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26665D8F" w14:textId="5A113F1A" w:rsidR="004A4E71" w:rsidRPr="00E50E51" w:rsidRDefault="004A4E71" w:rsidP="004A4E71">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sidR="005061DC">
                      <w:rPr>
                        <w:rFonts w:ascii="Arial" w:hAnsi="Arial" w:cs="Arial"/>
                        <w:color w:val="FFFFFF" w:themeColor="background1"/>
                        <w:kern w:val="24"/>
                        <w:sz w:val="28"/>
                        <w:szCs w:val="28"/>
                      </w:rPr>
                      <w:t>Ju</w:t>
                    </w:r>
                    <w:r w:rsidR="006A306B">
                      <w:rPr>
                        <w:rFonts w:ascii="Arial" w:hAnsi="Arial" w:cs="Arial"/>
                        <w:color w:val="FFFFFF" w:themeColor="background1"/>
                        <w:kern w:val="24"/>
                        <w:sz w:val="28"/>
                        <w:szCs w:val="28"/>
                      </w:rPr>
                      <w:t>l</w:t>
                    </w:r>
                    <w:r w:rsidR="005061DC">
                      <w:rPr>
                        <w:rFonts w:ascii="Arial" w:hAnsi="Arial" w:cs="Arial"/>
                        <w:color w:val="FFFFFF" w:themeColor="background1"/>
                        <w:kern w:val="24"/>
                        <w:sz w:val="28"/>
                        <w:szCs w:val="28"/>
                      </w:rPr>
                      <w:t>i</w:t>
                    </w:r>
                    <w:r w:rsidR="005F12CA">
                      <w:rPr>
                        <w:rFonts w:ascii="Arial" w:hAnsi="Arial" w:cs="Arial"/>
                        <w:color w:val="FFFFFF" w:themeColor="background1"/>
                        <w:kern w:val="24"/>
                        <w:sz w:val="28"/>
                        <w:szCs w:val="28"/>
                      </w:rPr>
                      <w:t xml:space="preserve"> </w:t>
                    </w:r>
                    <w:r w:rsidR="0006424B">
                      <w:rPr>
                        <w:rFonts w:ascii="Arial" w:hAnsi="Arial" w:cs="Arial"/>
                        <w:color w:val="FFFFFF" w:themeColor="background1"/>
                        <w:kern w:val="24"/>
                        <w:sz w:val="28"/>
                        <w:szCs w:val="28"/>
                      </w:rPr>
                      <w:t>2026</w:t>
                    </w:r>
                  </w:p>
                </w:txbxContent>
              </v:textbox>
              <w10:wrap anchorx="margin"/>
            </v:rect>
          </w:pict>
        </mc:Fallback>
      </mc:AlternateContent>
    </w:r>
    <w:r w:rsidR="00E81D17" w:rsidRPr="00E81D17">
      <w:rPr>
        <w:noProof/>
      </w:rPr>
      <mc:AlternateContent>
        <mc:Choice Requires="wpg">
          <w:drawing>
            <wp:anchor distT="0" distB="0" distL="114300" distR="114300" simplePos="0" relativeHeight="251666432" behindDoc="0" locked="0" layoutInCell="1" allowOverlap="1" wp14:anchorId="61AEDE19" wp14:editId="0C8B5807">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839C147"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sidR="00E81D17" w:rsidRPr="00E81D17">
      <w:rPr>
        <w:noProof/>
      </w:rPr>
      <mc:AlternateContent>
        <mc:Choice Requires="wpg">
          <w:drawing>
            <wp:anchor distT="0" distB="0" distL="114300" distR="114300" simplePos="0" relativeHeight="251665408" behindDoc="0" locked="0" layoutInCell="1" allowOverlap="1" wp14:anchorId="58BCAA15" wp14:editId="58D5C18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3C70C023"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1B6ECA24" wp14:editId="044D75FD">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4A4BB6F"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6ECA24"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24A4BB6F"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1DC"/>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24B"/>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0AEA"/>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060"/>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2C06"/>
    <w:rsid w:val="00185E00"/>
    <w:rsid w:val="00187777"/>
    <w:rsid w:val="00187DF2"/>
    <w:rsid w:val="001926C2"/>
    <w:rsid w:val="00194AE4"/>
    <w:rsid w:val="0019571A"/>
    <w:rsid w:val="001A0746"/>
    <w:rsid w:val="001A09C4"/>
    <w:rsid w:val="001A35CD"/>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28"/>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A6A0F"/>
    <w:rsid w:val="003B05A5"/>
    <w:rsid w:val="003B1CDE"/>
    <w:rsid w:val="003B4998"/>
    <w:rsid w:val="003B4C18"/>
    <w:rsid w:val="003B6008"/>
    <w:rsid w:val="003C0AFD"/>
    <w:rsid w:val="003C18DD"/>
    <w:rsid w:val="003C19B9"/>
    <w:rsid w:val="003C23E8"/>
    <w:rsid w:val="003C2435"/>
    <w:rsid w:val="003C5BC0"/>
    <w:rsid w:val="003C70CF"/>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49A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061DC"/>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50D6"/>
    <w:rsid w:val="005778C5"/>
    <w:rsid w:val="00577F08"/>
    <w:rsid w:val="00580534"/>
    <w:rsid w:val="00580557"/>
    <w:rsid w:val="00581AB9"/>
    <w:rsid w:val="005822E8"/>
    <w:rsid w:val="00582445"/>
    <w:rsid w:val="00582BD3"/>
    <w:rsid w:val="0058353E"/>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06B"/>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A5489"/>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5EA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3039"/>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1BF0"/>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24FD"/>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011"/>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55AD"/>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B5E87"/>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5078"/>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089A"/>
    <w:rsid w:val="00BD1CB0"/>
    <w:rsid w:val="00BD1F5D"/>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1884"/>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956"/>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15927"/>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6BC"/>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2C13"/>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7B5"/>
    <w:rsid w:val="00EF3A76"/>
    <w:rsid w:val="00EF442C"/>
    <w:rsid w:val="00EF46F1"/>
    <w:rsid w:val="00F0011A"/>
    <w:rsid w:val="00F00425"/>
    <w:rsid w:val="00F04AA9"/>
    <w:rsid w:val="00F04BE9"/>
    <w:rsid w:val="00F05CA3"/>
    <w:rsid w:val="00F1038F"/>
    <w:rsid w:val="00F11CCD"/>
    <w:rsid w:val="00F13A14"/>
    <w:rsid w:val="00F14086"/>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61B49197"/>
  <w15:docId w15:val="{5980835A-2020-4E76-AFEE-54277B7F9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styles" Target="styles.xml"/><Relationship Id="rId21" Type="http://schemas.openxmlformats.org/officeDocument/2006/relationships/hyperlink" Target="https://www.linkedin.com/company/amazone-group/" TargetMode="External"/><Relationship Id="rId7" Type="http://schemas.openxmlformats.org/officeDocument/2006/relationships/endnotes" Target="endnotes.xml"/><Relationship Id="rId12" Type="http://schemas.openxmlformats.org/officeDocument/2006/relationships/hyperlink" Target="https://www.facebook.com/amazone.group"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cid:YT_e9180d16-5a2b-4618-92e9-22a015f9cafb.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azone.de" TargetMode="External"/><Relationship Id="rId24" Type="http://schemas.openxmlformats.org/officeDocument/2006/relationships/hyperlink" Target="https://www.xing.com/company/amazone" TargetMode="External"/><Relationship Id="rId5" Type="http://schemas.openxmlformats.org/officeDocument/2006/relationships/webSettings" Target="webSettings.xml"/><Relationship Id="rId15" Type="http://schemas.openxmlformats.org/officeDocument/2006/relationships/hyperlink" Target="https://instagram.com/amazone_group" TargetMode="External"/><Relationship Id="rId23" Type="http://schemas.openxmlformats.org/officeDocument/2006/relationships/image" Target="cid:LinkedIn_80de4e9c-c7a3-41e3-8e11-063f7eace13d.jpg" TargetMode="External"/><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cid:FB_70d43fd1-a841-4de4-bbaa-3e1f495f95d3.jpg" TargetMode="External"/><Relationship Id="rId22" Type="http://schemas.openxmlformats.org/officeDocument/2006/relationships/image" Target="media/image7.jpe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00%20Vorlagen%20u.%20Workflows\Vorlage_PI_Landtechnik_2026.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Vorlage_PI_Landtechnik_2026.dotx</Template>
  <TotalTime>0</TotalTime>
  <Pages>4</Pages>
  <Words>440</Words>
  <Characters>3174</Characters>
  <Application>Microsoft Office Word</Application>
  <DocSecurity>0</DocSecurity>
  <Lines>61</Lines>
  <Paragraphs>12</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3615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Presseinfo</dc:title>
  <dc:subject/>
  <dc:creator>Berelsmann Nadine</dc:creator>
  <cp:keywords/>
  <dc:description/>
  <cp:lastModifiedBy>Berelsmann Nadine</cp:lastModifiedBy>
  <cp:revision>9</cp:revision>
  <cp:lastPrinted>2010-02-24T09:10:00Z</cp:lastPrinted>
  <dcterms:created xsi:type="dcterms:W3CDTF">2026-06-09T08:25:00Z</dcterms:created>
  <dcterms:modified xsi:type="dcterms:W3CDTF">2026-07-02T10:39:00Z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